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0001181154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Medpace Holdings,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001-37856</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5375 MEDPACE WAY</w:t>
              <w:br/>
              <w:t>CINCINNATI</w:t>
              <w:br/>
              <w:t xml:space="preserve">OHIO </w:t>
              <w:br/>
              <w:t>45227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(513) 579-9911</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DAVENPORT FRED B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7283</w:t>
            </w:r>
          </w:p>
        </w:tc>
        <w:tc>
          <w:tcPr>
            <w:tcW w:w="1452" w:type="dxa"/>
            <w:tcBorders/>
            <w:vAlign w:val="center"/>
          </w:tcPr>
          <w:p>
            <w:pPr>
              <w:pStyle w:val="TableContents"/>
              <w:bidi w:val="0"/>
              <w:spacing w:before="0" w:after="283"/>
              <w:jc w:val="left"/>
              <w:rPr/>
            </w:pPr>
            <w:r>
              <w:rPr/>
              <w:t>4414616.10</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08/19/2026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7283</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Corey Walter, as a duly authorized representative of Fidelity Brokerage Services LLC, as attorney-in-fact for Fred Davenport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2971</Characters>
  <CharactersWithSpaces>3504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