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6512.xml.htm"/>
      <w:bookmarkStart w:id="1" w:name="kswkform4_17865665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Troendle August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MEDPACE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5375 MEDPACE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CINCINNATI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45227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Medpace Holdings, Inc.</w:t>
              </w:r>
            </w:hyperlink>
            <w:r>
              <w:rPr/>
              <w:t xml:space="preserve"> [ </w:t>
            </w:r>
            <w:r>
              <w:rPr>
                <w:rFonts w:ascii="Times;serif" w:hAnsi="Times;serif"/>
                <w:color w:val="0000FF"/>
                <w:sz w:val="24"/>
                <w:shd w:fill="FFFFFF" w:val="clear"/>
              </w:rPr>
              <w:t>MEDP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0"/>
        <w:gridCol w:w="901"/>
        <w:gridCol w:w="772"/>
        <w:gridCol w:w="598"/>
        <w:gridCol w:w="338"/>
        <w:gridCol w:w="904"/>
        <w:gridCol w:w="427"/>
        <w:gridCol w:w="878"/>
        <w:gridCol w:w="1243"/>
        <w:gridCol w:w="963"/>
        <w:gridCol w:w="108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5,534</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601.53</w:t>
            </w:r>
            <w:r>
              <w:rPr>
                <w:rFonts w:ascii="Times;serif" w:hAnsi="Times;serif"/>
                <w:color w:val="008000"/>
                <w:position w:val="7"/>
                <w:sz w:val="16"/>
                <w:sz w:val="20"/>
                <w:shd w:fill="FFFFFF" w:val="clear"/>
              </w:rPr>
              <w:t>(2)</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633,412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17,610</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605.11</w:t>
            </w:r>
            <w:r>
              <w:rPr>
                <w:rFonts w:ascii="Times;serif" w:hAnsi="Times;serif"/>
                <w:color w:val="008000"/>
                <w:position w:val="7"/>
                <w:sz w:val="16"/>
                <w:sz w:val="20"/>
                <w:shd w:fill="FFFFFF" w:val="clear"/>
              </w:rPr>
              <w:t>(3)</w:t>
            </w:r>
          </w:p>
        </w:tc>
        <w:tc>
          <w:tcPr>
            <w:tcW w:w="12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615,802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4,733,019</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Medpace Investors, LLC</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on this Form 4 were effected pursuant to a limit order placed by the Reporting Person during an open window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ranging from $600.00 to $602.73.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is a weighted average price. These shares were sold in multiple transactions ranging from $600.09 to $608.185. The Reporting Person undertakes to provide full pricing information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the sole manager and controlling unit holder of Medpace Investors, LLC ("MPI") and has sole voting and investment control with respect to the securities held by MPI. The Reporting Person may be deemed to indirectly beneficially own the securities of the Issuer held by MPI but disclaims beneficial ownership of such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P. Ewald, Attorney-in-Fact for August J. Troendle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2058" TargetMode="External"/><Relationship Id="rId5" Type="http://schemas.openxmlformats.org/officeDocument/2006/relationships/hyperlink" Target="http://www.sec.gov/cgi-bin/browse-edgar?action=getcompany&amp;CIK=00016683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4221</Characters>
  <CharactersWithSpaces>4917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